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 w:eastAsia="Arial"/>
          <w:b/>
          <w:color w:val="0A1829"/>
          <w:sz w:val="48"/>
        </w:rPr>
        <w:t>Политика в отношении обработки персональных данных</w:t>
      </w:r>
    </w:p>
    <w:p>
      <w:pPr>
        <w:pStyle w:val="Subtitle"/>
      </w:pPr>
      <w:r>
        <w:rPr>
          <w:rFonts w:ascii="Arial" w:hAnsi="Arial" w:eastAsia="Arial"/>
          <w:color w:val="5B6978"/>
          <w:sz w:val="22"/>
        </w:rPr>
        <w:t>и использования файлов cookie на сайте TennClub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Сайт: https://tennclub.ru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Контакт: tennclub@yandex.ru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8"/>
              </w:rPr>
              <w:t>Редакция: 1.0 от 14.09.2026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1. Общие положения</w:t>
      </w:r>
    </w:p>
    <w:p>
      <w:pPr/>
      <w:r>
        <w:rPr>
          <w:rFonts w:ascii="Arial" w:hAnsi="Arial" w:eastAsia="Arial"/>
          <w:sz w:val="21"/>
        </w:rPr>
        <w:t>Политика определяет порядок обработки и защиты персональных данных на сайте https://tennclub.ru. Оператор: Горичев Макар Алексеевич, проект TennClub. Контакт по вопросам персональных данных: tennclub@yandex.ru.</w:t>
      </w:r>
    </w:p>
    <w:p>
      <w:pPr/>
      <w:r>
        <w:rPr>
          <w:rFonts w:ascii="Arial" w:hAnsi="Arial" w:eastAsia="Arial"/>
          <w:sz w:val="21"/>
        </w:rPr>
        <w:t>Политика подготовлена с учётом Федерального закона от 27.07.2006 № 152-ФЗ «О персональных данных» и применяется к посетителям, зарегистрированным пользователям, игрокам, заявителям на турниры, партнёрам, организаторам и администраторам.</w:t>
      </w:r>
    </w:p>
    <w:p>
      <w:pPr/>
      <w:r>
        <w:rPr>
          <w:rFonts w:ascii="Arial" w:hAnsi="Arial" w:eastAsia="Arial"/>
          <w:sz w:val="21"/>
        </w:rPr>
        <w:t>Оператор обрабатывает данные на принципах законности, ограничения целями, минимизации, точности, ограниченного хранения, конфиденциальности и безопасности.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2. Категории субъектов, цели, данные и сроки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F7A1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Субъекты и цель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F7A1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Данные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F7A1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Правовое основание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F7A1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Срок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Посетители: работа и защита сайта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IP, браузер, устройство, дата, страница, cookie/сессия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законный интерес, техническая необходимость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технические журналы до 12 месяцев; cookie сессии до 30 дней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Пользователи: аккаунт и доступ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имя, фамилия, email, хэш пароля, идентификатор, действия безопасности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согласие; исполнение запроса и соглашения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срок аккаунта и до 30 дней после удаления; сведения для защиты прав до 3 лет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Игроки: профиль и спорт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город, NTRP, пол, телефон, Telegram, дата рождения, фото, заявки, матчи, результаты, рейтинг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согласие; правила турнира; законный интерес к достоверности результатов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профиль до удаления/отзыва; заявки 3 года после турнира; спортивная история сохраняется либо обезличивается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Партнёры и организаторы: рассмотрение обращения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имя, организация, email/телефон/Telegram, текст обращения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согласие; действия по запросу заявителя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до 1 года после решения по обращению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Получатели рассылок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имя, контакт, канал, согласие, история отправок и отказа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отдельное согласие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до отзыва; подтверждение согласия и отказа до 3 лет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Администраторы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аккаунт, роль, журнал действий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соглашение, законный интерес и безопасность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sz w:val="16"/>
              </w:rPr>
              <w:t>срок полномочий и журнал до 3 лет</w:t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Arial"/>
          <w:sz w:val="21"/>
        </w:rPr>
        <w:t>Срок может быть продлён, если это прямо требуется законом, необходимо для исполнения обязательства или защиты прав. По окончании срока данные уничтожаются или необратимо обезличиваются.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3. Операции и способы</w:t>
      </w:r>
    </w:p>
    <w:p>
      <w:pPr/>
      <w:r>
        <w:rPr>
          <w:rFonts w:ascii="Arial" w:hAnsi="Arial" w:eastAsia="Arial"/>
          <w:sz w:val="21"/>
        </w:rPr>
        <w:t>Оператор осуществляет автоматизированную и смешанную обработку: сбор, запись, систематизацию, накопление, хранение, уточнение, извлечение, использование, предоставление, доступ, обезличивание, блокирование, удаление и уничтожение. Передача по сети Интернет применяется для работы сайта и подключённых сервисов.</w:t>
      </w:r>
    </w:p>
    <w:p>
      <w:pPr/>
      <w:r>
        <w:rPr>
          <w:rFonts w:ascii="Arial" w:hAnsi="Arial" w:eastAsia="Arial"/>
          <w:sz w:val="21"/>
        </w:rPr>
        <w:t>Пароль не хранится в открытом виде. В базе хранится криптографический хэш. Одноразовый токен восстановления действует 30 минут, а в базе хранится его хэш.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4. Публичный профиль и распространение</w:t>
      </w:r>
    </w:p>
    <w:p>
      <w:pPr/>
      <w:r>
        <w:rPr>
          <w:rFonts w:ascii="Arial" w:hAnsi="Arial" w:eastAsia="Arial"/>
          <w:sz w:val="21"/>
        </w:rPr>
        <w:t>Имя, фамилия, фотография, город, NTRP, рейтинг, результаты и история турниров публикуются только при отдельном согласии на обработку данных, разрешённых для распространения. Пользователь вправе установить запреты и условия и отозвать согласие.</w:t>
      </w:r>
    </w:p>
    <w:p>
      <w:pPr/>
      <w:r>
        <w:rPr>
          <w:rFonts w:ascii="Arial" w:hAnsi="Arial" w:eastAsia="Arial"/>
          <w:sz w:val="21"/>
        </w:rPr>
        <w:t>Телефон, email, Telegram, дата рождения, платёжные данные и административные комментарии публично не размещаются. При отключении публичности профиль исчезает из публичного каталога; спортивные результаты сохраняются в обезличенном виде либо в минимальном объёме для достоверности соревнований.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5. Турнир и передача организатору</w:t>
      </w:r>
    </w:p>
    <w:p>
      <w:pPr/>
      <w:r>
        <w:rPr>
          <w:rFonts w:ascii="Arial" w:hAnsi="Arial" w:eastAsia="Arial"/>
          <w:sz w:val="21"/>
        </w:rPr>
        <w:t>При заявке на турнир пользователь отдельно соглашается на передачу организатору необходимых данных: имени, фамилии, телефона, NTRP, статуса заявки и иных сведений, прямо необходимых для допуска и связи. Организатор не получает всю базу пользователей и обязан использовать данные только для конкретного турнира.</w:t>
      </w:r>
    </w:p>
    <w:p>
      <w:pPr/>
      <w:r>
        <w:rPr>
          <w:rFonts w:ascii="Arial" w:hAnsi="Arial" w:eastAsia="Arial"/>
          <w:sz w:val="21"/>
        </w:rPr>
        <w:t>Если турнир сторонний, его организатор указан на странице турнира и может являться самостоятельным оператором в отношении проведения события, оплаты и офлайн-взаимодействия.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6. Получатели и поставщики</w:t>
      </w:r>
    </w:p>
    <w:p>
      <w:pPr/>
      <w:r>
        <w:rPr>
          <w:rFonts w:ascii="Arial" w:hAnsi="Arial" w:eastAsia="Arial"/>
          <w:sz w:val="21"/>
        </w:rPr>
        <w:t>Доступ к данным в необходимом объёме могут получать: уполномоченные администраторы TennClub; организатор выбранного турнира; Timeweb Cloud как поставщик хостинга и базы данных; поставщик электронной почты и webhook-доставки; иные подрядчики после их проверки и оформления требуемых условий.</w:t>
      </w:r>
    </w:p>
    <w:p>
      <w:pPr/>
      <w:r>
        <w:rPr>
          <w:rFonts w:ascii="Arial" w:hAnsi="Arial" w:eastAsia="Arial"/>
          <w:sz w:val="21"/>
        </w:rPr>
        <w:t>Оператор не продаёт персональные данные. Раскрытие государственным органам производится только при наличии законного основания.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7. Электронная почта и трансграничная передача</w:t>
      </w:r>
    </w:p>
    <w:p>
      <w:pPr/>
      <w:r>
        <w:rPr>
          <w:rFonts w:ascii="Arial" w:hAnsi="Arial" w:eastAsia="Arial"/>
          <w:sz w:val="21"/>
        </w:rPr>
        <w:t>Административные email-уведомления должны содержать только сведения, необходимые для обработки события, и направляться на адрес уполномоченного лица. До передачи персональных данных иностранному получателю оператор обязан определить получателя и государство, оценить правовое основание и выполнить установленную законом процедуру уведомления Роскомнадзора о трансграничной передаче.</w:t>
      </w:r>
    </w:p>
    <w:p>
      <w:pPr/>
      <w:r>
        <w:rPr>
          <w:rFonts w:ascii="Arial" w:hAnsi="Arial" w:eastAsia="Arial"/>
          <w:sz w:val="21"/>
        </w:rPr>
        <w:t>Если эти требования не выполнены, персональные данные пользователей не должны передаваться иностранному поставщику электронной почты или webhook-доставки; допускается уведомление без идентифицирующих данных либо использование российского канала.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8. Локализация и хранение</w:t>
      </w:r>
    </w:p>
    <w:p>
      <w:pPr/>
      <w:r>
        <w:rPr>
          <w:rFonts w:ascii="Arial" w:hAnsi="Arial" w:eastAsia="Arial"/>
          <w:sz w:val="21"/>
        </w:rPr>
        <w:t>При сборе персональных данных граждан Российской Федерации через Интернет первичная запись, систематизация, накопление, хранение, уточнение и извлечение обеспечиваются с использованием базы данных на территории Российской Федерации. Фактический регион базы и резервных копий подтверждается документами Timeweb Cloud.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9. Меры защиты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назначение ответственного либо самостоятельное исполнение обязанностей оператором; утверждение локальных документов и разграничение доступа;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учёт информационных систем, пользователей, согласий, обращений и критических действий;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хэширование паролей, HTTPS, секреты окружения, резервное копирование и обновление программного обеспечения;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контроль доступа администраторов и организаторов, минимизация экспорта и периодический пересмотр прав;</w:t>
      </w:r>
    </w:p>
    <w:p>
      <w:pPr>
        <w:ind w:left="255" w:hanging="170"/>
      </w:pPr>
      <w:r>
        <w:rPr>
          <w:rFonts w:ascii="Arial" w:hAnsi="Arial" w:eastAsia="Arial"/>
          <w:sz w:val="21"/>
        </w:rPr>
        <w:t>• выявление инцидентов, восстановление данных и уведомление Роскомнадзора в предусмотренных законом случаях и сроки.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10. Права субъекта</w:t>
      </w:r>
    </w:p>
    <w:p>
      <w:pPr/>
      <w:r>
        <w:rPr>
          <w:rFonts w:ascii="Arial" w:hAnsi="Arial" w:eastAsia="Arial"/>
          <w:sz w:val="21"/>
        </w:rPr>
        <w:t>Субъект вправе получить сведения об обработке, потребовать уточнения, блокирования или уничтожения данных, отозвать согласие, ограничить распространение, отказаться от рекламы и обжаловать действия оператора в Роскомнадзоре или суде.</w:t>
      </w:r>
    </w:p>
    <w:p>
      <w:pPr/>
      <w:r>
        <w:rPr>
          <w:rFonts w:ascii="Arial" w:hAnsi="Arial" w:eastAsia="Arial"/>
          <w:sz w:val="21"/>
        </w:rPr>
        <w:t>Запрос направляется на tennclub@yandex.ru. Для защиты данных оператор вправе запросить разумное подтверждение личности. Обращение рассматривается в сроки, установленные законодательством; ответ направляется способом, позволяющим подтвердить его получение.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11. Уничтожение и инциденты</w:t>
      </w:r>
    </w:p>
    <w:p>
      <w:pPr/>
      <w:r>
        <w:rPr>
          <w:rFonts w:ascii="Arial" w:hAnsi="Arial" w:eastAsia="Arial"/>
          <w:sz w:val="21"/>
        </w:rPr>
        <w:t>При достижении цели, отзыве согласия или выявлении неправомерной обработки данные блокируются и уничтожаются либо обезличиваются в сроки, установленные законом, если нет иного законного основания.</w:t>
      </w:r>
    </w:p>
    <w:p>
      <w:pPr/>
      <w:r>
        <w:rPr>
          <w:rFonts w:ascii="Arial" w:hAnsi="Arial" w:eastAsia="Arial"/>
          <w:sz w:val="21"/>
        </w:rPr>
        <w:t>При инциденте с неправомерной или случайной передачей данных оператор фиксирует событие, ограничивает последствия, сохраняет доказательства и направляет необходимые уведомления в Роскомнадзор. Пользователи уведомляются, когда это требуется законом или необходимо для снижения риска.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12. Несовершеннолетние</w:t>
      </w:r>
    </w:p>
    <w:p>
      <w:pPr/>
      <w:r>
        <w:rPr>
          <w:rFonts w:ascii="Arial" w:hAnsi="Arial" w:eastAsia="Arial"/>
          <w:sz w:val="21"/>
        </w:rPr>
        <w:t>Если согласие или участие несовершеннолетнего должно оформляться законным представителем, оператор вправе запросить подтверждение полномочий. Без такого подтверждения отдельные функции могут быть ограничены.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13. Cookie</w:t>
      </w:r>
    </w:p>
    <w:p>
      <w:pPr/>
      <w:r>
        <w:rPr>
          <w:rFonts w:ascii="Arial" w:hAnsi="Arial" w:eastAsia="Arial"/>
          <w:sz w:val="21"/>
        </w:rPr>
        <w:t>Сейчас используются необходимые cookie сессии сроком до 30 дней и localStorage для запоминания уведомления. Необязательная аналитика и рекламные cookie требуют предварительного обновления документов и отдельного согласия, когда оно необходимо.</w:t>
      </w:r>
    </w:p>
    <w:p>
      <w:pPr>
        <w:pStyle w:val="Heading2"/>
      </w:pPr>
      <w:r>
        <w:rPr>
          <w:rFonts w:ascii="Arial" w:hAnsi="Arial" w:eastAsia="Arial"/>
          <w:b/>
          <w:color w:val="E86F14"/>
          <w:sz w:val="26"/>
        </w:rPr>
        <w:t>14. Изменение Политики</w:t>
      </w:r>
    </w:p>
    <w:p>
      <w:pPr/>
      <w:r>
        <w:rPr>
          <w:rFonts w:ascii="Arial" w:hAnsi="Arial" w:eastAsia="Arial"/>
          <w:sz w:val="21"/>
        </w:rPr>
        <w:t>Актуальная редакция постоянно доступна на сайте. Существенные изменения публикуются с новой датой и версией. Новое согласие запрашивается, если меняются цели, состав данных или иные условия так, что прежнего основания недостаточно.</w:t>
      </w:r>
    </w:p>
    <w:sectPr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7882"/>
        <w:sz w:val="16"/>
      </w:rPr>
      <w:t>TennClub · https://tennclub.ru · tennclub@yandex.ru · 1.0 от 14.09.2026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A182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E86F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A18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b w:val="0"/>
      <w:i/>
      <w:iCs/>
      <w:color w:val="5B697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subject>Юридические документы TennClub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